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北京市东城区源众家庭与社区发展服务中心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b/>
          <w:sz w:val="32"/>
          <w:szCs w:val="32"/>
        </w:rPr>
        <w:t>年度财务报告</w:t>
      </w:r>
    </w:p>
    <w:p>
      <w:pPr>
        <w:spacing w:line="240" w:lineRule="atLeast"/>
        <w:jc w:val="center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（2</w:t>
      </w:r>
      <w:r>
        <w:rPr>
          <w:rFonts w:ascii="仿宋" w:hAnsi="仿宋" w:eastAsia="仿宋"/>
          <w:sz w:val="28"/>
          <w:szCs w:val="32"/>
        </w:rPr>
        <w:t>0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22</w:t>
      </w:r>
      <w:r>
        <w:rPr>
          <w:rFonts w:ascii="仿宋" w:hAnsi="仿宋" w:eastAsia="仿宋"/>
          <w:sz w:val="28"/>
          <w:szCs w:val="32"/>
        </w:rPr>
        <w:t>.1.1</w:t>
      </w:r>
      <w:r>
        <w:rPr>
          <w:rFonts w:hint="eastAsia" w:ascii="仿宋" w:hAnsi="仿宋" w:eastAsia="仿宋"/>
          <w:sz w:val="28"/>
          <w:szCs w:val="32"/>
        </w:rPr>
        <w:t>-</w:t>
      </w:r>
      <w:r>
        <w:rPr>
          <w:rFonts w:ascii="仿宋" w:hAnsi="仿宋" w:eastAsia="仿宋"/>
          <w:sz w:val="28"/>
          <w:szCs w:val="32"/>
        </w:rPr>
        <w:t>20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22</w:t>
      </w:r>
      <w:r>
        <w:rPr>
          <w:rFonts w:ascii="仿宋" w:hAnsi="仿宋" w:eastAsia="仿宋"/>
          <w:sz w:val="28"/>
          <w:szCs w:val="32"/>
        </w:rPr>
        <w:t>.</w:t>
      </w:r>
      <w:r>
        <w:rPr>
          <w:rFonts w:hint="eastAsia" w:ascii="仿宋" w:hAnsi="仿宋" w:eastAsia="仿宋"/>
          <w:sz w:val="28"/>
          <w:szCs w:val="32"/>
        </w:rPr>
        <w:t>12</w:t>
      </w:r>
      <w:r>
        <w:rPr>
          <w:rFonts w:ascii="仿宋" w:hAnsi="仿宋" w:eastAsia="仿宋"/>
          <w:sz w:val="28"/>
          <w:szCs w:val="32"/>
        </w:rPr>
        <w:t>.3</w:t>
      </w:r>
      <w:r>
        <w:rPr>
          <w:rFonts w:hint="eastAsia" w:ascii="仿宋" w:hAnsi="仿宋" w:eastAsia="仿宋"/>
          <w:sz w:val="28"/>
          <w:szCs w:val="32"/>
        </w:rPr>
        <w:t>1）</w:t>
      </w:r>
    </w:p>
    <w:p>
      <w:pPr>
        <w:spacing w:before="156" w:beforeLines="50" w:after="156" w:afterLines="50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sz w:val="24"/>
        </w:rPr>
        <w:t>（以下简称“</w:t>
      </w:r>
      <w:r>
        <w:rPr>
          <w:rFonts w:hint="eastAsia" w:ascii="仿宋" w:hAnsi="仿宋" w:eastAsia="仿宋"/>
          <w:sz w:val="24"/>
          <w:lang w:val="en-US" w:eastAsia="zh-CN"/>
        </w:rPr>
        <w:t>源众</w:t>
      </w:r>
      <w:r>
        <w:rPr>
          <w:rFonts w:hint="eastAsia" w:ascii="仿宋" w:hAnsi="仿宋" w:eastAsia="仿宋"/>
          <w:sz w:val="24"/>
        </w:rPr>
        <w:t>”）20</w:t>
      </w:r>
      <w:r>
        <w:rPr>
          <w:rFonts w:hint="eastAsia" w:ascii="仿宋" w:hAnsi="仿宋" w:eastAsia="仿宋"/>
          <w:sz w:val="24"/>
          <w:lang w:val="en-US" w:eastAsia="zh-CN"/>
        </w:rPr>
        <w:t>22</w:t>
      </w:r>
      <w:r>
        <w:rPr>
          <w:rFonts w:hint="eastAsia" w:ascii="仿宋" w:hAnsi="仿宋" w:eastAsia="仿宋"/>
          <w:sz w:val="24"/>
        </w:rPr>
        <w:t>年度财务情况汇报如下：</w:t>
      </w:r>
    </w:p>
    <w:p>
      <w:pPr>
        <w:pStyle w:val="5"/>
        <w:numPr>
          <w:ilvl w:val="0"/>
          <w:numId w:val="1"/>
        </w:numPr>
        <w:spacing w:line="360" w:lineRule="auto"/>
        <w:ind w:left="284" w:firstLineChars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概况</w:t>
      </w:r>
    </w:p>
    <w:p>
      <w:pPr>
        <w:pStyle w:val="5"/>
        <w:spacing w:line="360" w:lineRule="auto"/>
        <w:ind w:left="420" w:firstLine="48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截至20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/>
          <w:sz w:val="24"/>
          <w:szCs w:val="24"/>
        </w:rPr>
        <w:t>年12月31日，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源众</w:t>
      </w:r>
      <w:r>
        <w:rPr>
          <w:rFonts w:hint="eastAsia" w:ascii="仿宋" w:hAnsi="仿宋" w:eastAsia="仿宋"/>
          <w:sz w:val="24"/>
          <w:szCs w:val="24"/>
        </w:rPr>
        <w:t>资产总额（人民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币）787,308.31元，其中货币资金余额（人民币）658,938.08元，短期投资金额（人民币）0元。净资产总额为（人民币）114,571.92元，其中非限定性净资产（人民币）55,825.25元，限定性净资产（人民币）58,746.67元。</w:t>
      </w:r>
    </w:p>
    <w:p>
      <w:pPr>
        <w:pStyle w:val="5"/>
        <w:spacing w:line="360" w:lineRule="auto"/>
        <w:ind w:left="420" w:firstLine="48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截至2022年12月31日，源众共取得收入（人民币1,709,605.38元（提供服务收入（人民币）722,630.40元，捐赠收入（人民币）984,895.39元，投资收益（人民币）0元，其他收入（人民币）2,079.59元；支出总额为（人民币1,669,036.86元（业务活动成本为1,077,139.62元，管理费用591,897.24元）。</w:t>
      </w: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</w:rPr>
        <w:t>报表附注：</w:t>
      </w:r>
    </w:p>
    <w:p>
      <w:pPr>
        <w:pStyle w:val="5"/>
        <w:numPr>
          <w:ilvl w:val="0"/>
          <w:numId w:val="2"/>
        </w:numPr>
        <w:spacing w:line="360" w:lineRule="auto"/>
        <w:ind w:left="0" w:firstLine="0" w:firstLineChars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收入列示（货币：人民币；单位：元）</w:t>
      </w:r>
    </w:p>
    <w:tbl>
      <w:tblPr>
        <w:tblStyle w:val="2"/>
        <w:tblW w:w="927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11"/>
        <w:gridCol w:w="3429"/>
        <w:gridCol w:w="28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  目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年1-12月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收入总计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1,709,605.38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捐赠收入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5"/>
              <w:spacing w:line="360" w:lineRule="auto"/>
              <w:ind w:left="420" w:firstLine="480"/>
              <w:jc w:val="right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984,895.39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提供服务收入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5"/>
              <w:spacing w:line="360" w:lineRule="auto"/>
              <w:ind w:left="420" w:firstLine="480"/>
              <w:jc w:val="right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722,630.40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其他收入</w:t>
            </w:r>
          </w:p>
        </w:tc>
        <w:tc>
          <w:tcPr>
            <w:tcW w:w="3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2,</w:t>
            </w: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079</w:t>
            </w:r>
            <w:r>
              <w:rPr>
                <w:rFonts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59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2"/>
        </w:numPr>
        <w:spacing w:line="360" w:lineRule="auto"/>
        <w:ind w:left="0" w:firstLine="0" w:firstLineChars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费用列示（货币：人民币；单位：元）</w:t>
      </w:r>
    </w:p>
    <w:tbl>
      <w:tblPr>
        <w:tblStyle w:val="2"/>
        <w:tblW w:w="93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9"/>
        <w:gridCol w:w="2889"/>
        <w:gridCol w:w="2925"/>
      </w:tblGrid>
      <w:tr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    目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年1-12月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费用总计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1,</w:t>
            </w: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669</w:t>
            </w:r>
            <w:r>
              <w:rPr>
                <w:rFonts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,</w:t>
            </w: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036</w:t>
            </w:r>
            <w:r>
              <w:rPr>
                <w:rFonts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86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业务活动成本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1,077,139.62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default" w:ascii="仿宋" w:hAnsi="仿宋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接受服务费用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46,732.40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default" w:ascii="仿宋" w:hAnsi="仿宋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会费经费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1,223.15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default" w:ascii="仿宋" w:hAnsi="仿宋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捐赠支出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9,469.00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default" w:ascii="仿宋" w:hAnsi="仿宋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救助金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110,990.89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default" w:ascii="仿宋" w:hAnsi="仿宋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通讯费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5,000.00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default" w:ascii="仿宋" w:hAnsi="仿宋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劳务费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383,584.51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default" w:ascii="仿宋" w:hAnsi="仿宋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交通费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6,762.89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default" w:ascii="仿宋" w:hAnsi="仿宋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办公费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9,148.88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default" w:ascii="仿宋" w:hAnsi="仿宋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快递费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63.35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eastAsia" w:ascii="仿宋" w:hAnsi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差旅费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38,897.48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default" w:ascii="仿宋" w:hAnsi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会议费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214.80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default" w:ascii="仿宋" w:hAnsi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技术服务费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900.00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default" w:ascii="仿宋" w:hAnsi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活动经费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15,317.27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default" w:ascii="仿宋" w:hAnsi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职工工资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397,735.00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default" w:ascii="仿宋" w:hAnsi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场地费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5,100.00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default" w:ascii="仿宋" w:hAnsi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律师费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46,000.00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管理费用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591,897.24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ascii="仿宋" w:hAnsi="仿宋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职工工资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278,871.30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eastAsia" w:ascii="仿宋" w:hAnsi="仿宋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办公费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19,520.69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default" w:ascii="仿宋" w:hAnsi="仿宋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业务招待费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1,918.5</w:t>
            </w:r>
            <w:r>
              <w:rPr>
                <w:rFonts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ascii="仿宋" w:hAnsi="仿宋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交通费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8,334.05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default" w:ascii="仿宋" w:hAnsi="仿宋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固定资产折旧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6,09</w:t>
            </w:r>
            <w:r>
              <w:rPr>
                <w:rFonts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.66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eastAsia" w:ascii="仿宋" w:hAnsi="仿宋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福利费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19,393.14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eastAsia" w:ascii="仿宋" w:hAnsi="仿宋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社保费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57,143.20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eastAsia" w:ascii="仿宋" w:hAnsi="仿宋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通讯费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,</w:t>
            </w: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00.00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eastAsia" w:ascii="仿宋" w:hAnsi="仿宋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劳务费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67,377.63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eastAsia" w:ascii="仿宋" w:hAnsi="仿宋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银行手续费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25.00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eastAsia" w:ascii="仿宋" w:hAnsi="仿宋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残保金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8,945.09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eastAsia" w:ascii="仿宋" w:hAnsi="仿宋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会议费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2,221.50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eastAsia" w:ascii="仿宋" w:hAnsi="仿宋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服务费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14,775.00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eastAsia" w:ascii="仿宋" w:hAnsi="仿宋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房租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52,</w:t>
            </w: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00.00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eastAsia" w:ascii="仿宋" w:hAnsi="仿宋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审计费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9,500.00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eastAsia" w:ascii="仿宋" w:hAnsi="仿宋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印花税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174.48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eastAsia" w:ascii="仿宋" w:hAnsi="仿宋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律师费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40,000.00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ind w:firstLine="0" w:firstLineChars="0"/>
              <w:jc w:val="left"/>
              <w:rPr>
                <w:rFonts w:hint="default" w:ascii="仿宋" w:hAnsi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公积金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widowControl/>
              <w:spacing w:line="360" w:lineRule="exact"/>
              <w:jc w:val="right"/>
              <w:textAlignment w:val="center"/>
              <w:rPr>
                <w:rFonts w:hint="default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2,400.00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仿宋" w:hAnsi="仿宋" w:eastAsia="仿宋"/>
          <w:sz w:val="28"/>
          <w:szCs w:val="32"/>
        </w:rPr>
      </w:pPr>
    </w:p>
    <w:p>
      <w:pPr>
        <w:pStyle w:val="5"/>
        <w:numPr>
          <w:ilvl w:val="0"/>
          <w:numId w:val="1"/>
        </w:numPr>
        <w:spacing w:line="360" w:lineRule="auto"/>
        <w:ind w:left="284" w:firstLineChars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资产负债情况（货币：人民币；单位：元）</w:t>
      </w:r>
    </w:p>
    <w:tbl>
      <w:tblPr>
        <w:tblStyle w:val="3"/>
        <w:tblW w:w="9385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985"/>
        <w:gridCol w:w="708"/>
        <w:gridCol w:w="2268"/>
        <w:gridCol w:w="1843"/>
        <w:gridCol w:w="7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资产</w:t>
            </w:r>
          </w:p>
        </w:tc>
        <w:tc>
          <w:tcPr>
            <w:tcW w:w="1985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12月31日</w:t>
            </w:r>
          </w:p>
        </w:tc>
        <w:tc>
          <w:tcPr>
            <w:tcW w:w="708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行次</w:t>
            </w:r>
          </w:p>
        </w:tc>
        <w:tc>
          <w:tcPr>
            <w:tcW w:w="2268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负债和净资产</w:t>
            </w:r>
          </w:p>
        </w:tc>
        <w:tc>
          <w:tcPr>
            <w:tcW w:w="1843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12月31日</w:t>
            </w:r>
          </w:p>
        </w:tc>
        <w:tc>
          <w:tcPr>
            <w:tcW w:w="709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行次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spacing w:line="360" w:lineRule="exact"/>
              <w:ind w:left="1" w:hanging="1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货币资金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right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658,938.08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短期借款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right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spacing w:line="360" w:lineRule="exact"/>
              <w:ind w:left="3" w:leftChars="1" w:hanging="1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短期投资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right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应付款项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right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423,582.01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spacing w:line="360" w:lineRule="exact"/>
              <w:ind w:left="3" w:leftChars="1" w:hanging="1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应收款项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right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51,973.57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应付工资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right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16,643.10</w:t>
            </w:r>
          </w:p>
        </w:tc>
        <w:tc>
          <w:tcPr>
            <w:tcW w:w="709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872" w:type="dxa"/>
            <w:vAlign w:val="center"/>
          </w:tcPr>
          <w:p>
            <w:pPr>
              <w:spacing w:line="360" w:lineRule="exact"/>
              <w:ind w:left="3" w:leftChars="1" w:hanging="1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预付账款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right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111,242.46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应交税金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right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2,615.83</w:t>
            </w:r>
          </w:p>
        </w:tc>
        <w:tc>
          <w:tcPr>
            <w:tcW w:w="709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spacing w:line="360" w:lineRule="exact"/>
              <w:ind w:left="3" w:leftChars="1" w:hanging="1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存  货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jc w:val="right"/>
              <w:textAlignment w:val="bottom"/>
              <w:rPr>
                <w:rFonts w:hint="default" w:ascii="仿宋" w:hAnsi="仿宋" w:eastAsia="仿宋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预收账款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right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229,895.45</w:t>
            </w:r>
          </w:p>
        </w:tc>
        <w:tc>
          <w:tcPr>
            <w:tcW w:w="709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spacing w:line="360" w:lineRule="exact"/>
              <w:ind w:left="3" w:leftChars="1" w:hanging="1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待摊费用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jc w:val="right"/>
              <w:textAlignment w:val="bottom"/>
              <w:rPr>
                <w:rFonts w:hint="default" w:ascii="仿宋" w:hAnsi="仿宋" w:eastAsia="仿宋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 w:val="0"/>
                <w:bCs/>
                <w:sz w:val="24"/>
                <w:szCs w:val="24"/>
              </w:rPr>
              <w:t>预提费用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right"/>
              <w:rPr>
                <w:rFonts w:hint="default" w:ascii="仿宋" w:hAnsi="仿宋" w:eastAsia="仿宋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709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spacing w:line="360" w:lineRule="exact"/>
              <w:ind w:left="3" w:leftChars="1" w:hanging="1"/>
              <w:jc w:val="left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流动资产合计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jc w:val="right"/>
              <w:textAlignment w:val="bottom"/>
              <w:rPr>
                <w:rFonts w:hint="default" w:ascii="仿宋" w:hAnsi="仿宋" w:eastAsia="仿宋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778,403.51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流动负债合计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exact"/>
              <w:jc w:val="right"/>
              <w:textAlignment w:val="bottom"/>
              <w:rPr>
                <w:rFonts w:hint="default" w:ascii="仿宋" w:hAnsi="仿宋" w:eastAsia="仿宋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672,736.39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right"/>
              <w:textAlignment w:val="bottom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spacing w:line="360" w:lineRule="exact"/>
              <w:ind w:left="3" w:hanging="74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长期股权投资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非限定性净资产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exact"/>
              <w:jc w:val="right"/>
              <w:textAlignment w:val="bottom"/>
              <w:rPr>
                <w:rFonts w:hint="default" w:ascii="仿宋" w:hAnsi="仿宋" w:eastAsia="仿宋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z w:val="24"/>
                <w:szCs w:val="24"/>
                <w:lang w:val="en-US" w:eastAsia="zh-CN"/>
              </w:rPr>
              <w:t>55,825.25</w:t>
            </w:r>
          </w:p>
        </w:tc>
        <w:tc>
          <w:tcPr>
            <w:tcW w:w="709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固定资产净值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right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8,904.80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限定性净资产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exact"/>
              <w:jc w:val="right"/>
              <w:textAlignment w:val="bottom"/>
              <w:rPr>
                <w:rFonts w:hint="default" w:ascii="仿宋" w:hAnsi="仿宋" w:eastAsia="仿宋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z w:val="24"/>
                <w:szCs w:val="24"/>
                <w:lang w:val="en-US" w:eastAsia="zh-CN"/>
              </w:rPr>
              <w:t>58,746.67</w:t>
            </w:r>
          </w:p>
        </w:tc>
        <w:tc>
          <w:tcPr>
            <w:tcW w:w="709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72" w:type="dxa"/>
            <w:vAlign w:val="center"/>
          </w:tcPr>
          <w:p>
            <w:pPr>
              <w:pStyle w:val="5"/>
              <w:spacing w:line="360" w:lineRule="exact"/>
              <w:ind w:left="3" w:leftChars="1" w:hanging="1" w:firstLineChars="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固定资产清理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净资产合计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exact"/>
              <w:jc w:val="right"/>
              <w:textAlignment w:val="bottom"/>
              <w:rPr>
                <w:rFonts w:hint="default" w:ascii="仿宋" w:hAnsi="仿宋" w:eastAsia="仿宋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114,571.92</w:t>
            </w:r>
          </w:p>
        </w:tc>
        <w:tc>
          <w:tcPr>
            <w:tcW w:w="709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vAlign w:val="center"/>
          </w:tcPr>
          <w:p>
            <w:pPr>
              <w:pStyle w:val="5"/>
              <w:spacing w:line="360" w:lineRule="exact"/>
              <w:ind w:left="3" w:leftChars="1" w:hanging="1" w:firstLineChars="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资产合计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360" w:lineRule="exact"/>
              <w:jc w:val="right"/>
              <w:textAlignment w:val="bottom"/>
              <w:rPr>
                <w:rFonts w:hint="default" w:ascii="仿宋" w:hAnsi="仿宋" w:eastAsia="仿宋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787,308.43</w:t>
            </w:r>
          </w:p>
        </w:tc>
        <w:tc>
          <w:tcPr>
            <w:tcW w:w="708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负债和净资产合计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exact"/>
              <w:jc w:val="right"/>
              <w:textAlignment w:val="bottom"/>
              <w:rPr>
                <w:rFonts w:hint="default" w:ascii="仿宋" w:hAnsi="仿宋" w:eastAsia="仿宋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  <w:t>787,308.43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exact"/>
              <w:jc w:val="right"/>
              <w:textAlignment w:val="bottom"/>
              <w:rPr>
                <w:rFonts w:hint="eastAsia" w:ascii="仿宋" w:hAnsi="仿宋" w:eastAsia="仿宋" w:cs="宋体"/>
                <w:b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5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货币资金明细（货币：人民币；单位：元）</w:t>
      </w:r>
    </w:p>
    <w:tbl>
      <w:tblPr>
        <w:tblStyle w:val="3"/>
        <w:tblW w:w="9544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1"/>
        <w:gridCol w:w="3119"/>
        <w:gridCol w:w="29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3431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科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目</w:t>
            </w:r>
          </w:p>
        </w:tc>
        <w:tc>
          <w:tcPr>
            <w:tcW w:w="3119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4"/>
                <w:highlight w:val="red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截至20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年12月31日</w:t>
            </w:r>
          </w:p>
        </w:tc>
        <w:tc>
          <w:tcPr>
            <w:tcW w:w="2994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3431" w:type="dxa"/>
          </w:tcPr>
          <w:p>
            <w:pPr>
              <w:pStyle w:val="5"/>
              <w:spacing w:line="360" w:lineRule="auto"/>
              <w:ind w:firstLine="0" w:firstLineChars="0"/>
              <w:jc w:val="left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现金</w:t>
            </w:r>
          </w:p>
        </w:tc>
        <w:tc>
          <w:tcPr>
            <w:tcW w:w="3119" w:type="dxa"/>
          </w:tcPr>
          <w:p>
            <w:pPr>
              <w:pStyle w:val="5"/>
              <w:spacing w:line="360" w:lineRule="auto"/>
              <w:ind w:firstLine="0" w:firstLineChars="0"/>
              <w:jc w:val="right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  <w:t>19，761.86</w:t>
            </w:r>
          </w:p>
        </w:tc>
        <w:tc>
          <w:tcPr>
            <w:tcW w:w="2994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银行存款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right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639,176.22</w:t>
            </w:r>
          </w:p>
        </w:tc>
        <w:tc>
          <w:tcPr>
            <w:tcW w:w="2994" w:type="dxa"/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合  计</w:t>
            </w:r>
          </w:p>
        </w:tc>
        <w:tc>
          <w:tcPr>
            <w:tcW w:w="3119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righ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658,938.08</w:t>
            </w:r>
          </w:p>
        </w:tc>
        <w:tc>
          <w:tcPr>
            <w:tcW w:w="2994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righ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短期投资明细（货币：人民币；单位：元）</w:t>
      </w:r>
    </w:p>
    <w:tbl>
      <w:tblPr>
        <w:tblStyle w:val="3"/>
        <w:tblW w:w="9073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1"/>
        <w:gridCol w:w="3119"/>
        <w:gridCol w:w="25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科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目</w:t>
            </w:r>
          </w:p>
        </w:tc>
        <w:tc>
          <w:tcPr>
            <w:tcW w:w="3119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截至20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年12月31日</w:t>
            </w:r>
          </w:p>
        </w:tc>
        <w:tc>
          <w:tcPr>
            <w:tcW w:w="2523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exact"/>
              <w:jc w:val="right"/>
              <w:textAlignment w:val="bottom"/>
              <w:rPr>
                <w:rFonts w:ascii="仿宋" w:hAnsi="仿宋" w:eastAsia="仿宋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sz w:val="24"/>
                <w:szCs w:val="24"/>
              </w:rPr>
              <w:t>合  计</w:t>
            </w:r>
          </w:p>
        </w:tc>
        <w:tc>
          <w:tcPr>
            <w:tcW w:w="3119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righ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right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应付款明细</w:t>
      </w:r>
      <w:r>
        <w:rPr>
          <w:rFonts w:hint="eastAsia" w:ascii="仿宋" w:hAnsi="仿宋" w:eastAsia="仿宋"/>
          <w:b/>
          <w:sz w:val="24"/>
          <w:szCs w:val="24"/>
        </w:rPr>
        <w:t>（货币：人民币；单位：元）</w:t>
      </w:r>
    </w:p>
    <w:tbl>
      <w:tblPr>
        <w:tblStyle w:val="3"/>
        <w:tblW w:w="9073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1"/>
        <w:gridCol w:w="3119"/>
        <w:gridCol w:w="25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 w:cs="Arial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科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目</w:t>
            </w:r>
          </w:p>
        </w:tc>
        <w:tc>
          <w:tcPr>
            <w:tcW w:w="3119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截至20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年12月31日</w:t>
            </w:r>
          </w:p>
        </w:tc>
        <w:tc>
          <w:tcPr>
            <w:tcW w:w="2523" w:type="dxa"/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lang w:val="en-US" w:eastAsia="zh-CN"/>
              </w:rPr>
              <w:t>李莹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exact"/>
              <w:jc w:val="right"/>
              <w:textAlignment w:val="bottom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75,499.20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360" w:lineRule="exact"/>
              <w:jc w:val="right"/>
              <w:textAlignment w:val="bottom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vAlign w:val="center"/>
          </w:tcPr>
          <w:p>
            <w:pPr>
              <w:spacing w:line="360" w:lineRule="exact"/>
              <w:rPr>
                <w:rFonts w:hint="default" w:ascii="仿宋" w:hAnsi="仿宋" w:eastAsia="仿宋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lang w:val="en-US" w:eastAsia="zh-CN"/>
              </w:rPr>
              <w:t>北京朋辈社会工作发展中心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exact"/>
              <w:jc w:val="right"/>
              <w:textAlignment w:val="bottom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6,974.18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360" w:lineRule="exact"/>
              <w:jc w:val="right"/>
              <w:textAlignment w:val="bottom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vAlign w:val="center"/>
          </w:tcPr>
          <w:p>
            <w:pPr>
              <w:spacing w:line="360" w:lineRule="exact"/>
              <w:rPr>
                <w:rFonts w:hint="default" w:ascii="仿宋" w:hAnsi="仿宋" w:eastAsia="仿宋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lang w:val="en-US" w:eastAsia="zh-CN"/>
              </w:rPr>
              <w:t>陕西省妇女理论婚姻家庭研究会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exact"/>
              <w:jc w:val="right"/>
              <w:textAlignment w:val="bottom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99,929.50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360" w:lineRule="exact"/>
              <w:jc w:val="right"/>
              <w:textAlignment w:val="bottom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vAlign w:val="center"/>
          </w:tcPr>
          <w:p>
            <w:pPr>
              <w:spacing w:line="360" w:lineRule="exact"/>
              <w:rPr>
                <w:rFonts w:hint="default" w:ascii="仿宋" w:hAnsi="仿宋" w:eastAsia="仿宋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lang w:val="en-US" w:eastAsia="zh-CN"/>
              </w:rPr>
              <w:t>广东省残培教育发展基金会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exact"/>
              <w:jc w:val="right"/>
              <w:textAlignment w:val="bottom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40,540.48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360" w:lineRule="exact"/>
              <w:jc w:val="right"/>
              <w:textAlignment w:val="bottom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vAlign w:val="center"/>
          </w:tcPr>
          <w:p>
            <w:pPr>
              <w:spacing w:line="360" w:lineRule="exact"/>
              <w:rPr>
                <w:rFonts w:hint="default" w:ascii="仿宋" w:hAnsi="仿宋" w:eastAsia="仿宋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lang w:val="en-US" w:eastAsia="zh-CN"/>
              </w:rPr>
              <w:t>北京泽米咨询服务有限公司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exact"/>
              <w:jc w:val="right"/>
              <w:textAlignment w:val="bottom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132,348.65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360" w:lineRule="exact"/>
              <w:jc w:val="right"/>
              <w:textAlignment w:val="bottom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vAlign w:val="center"/>
          </w:tcPr>
          <w:p>
            <w:pPr>
              <w:spacing w:line="360" w:lineRule="exact"/>
              <w:rPr>
                <w:rFonts w:hint="default" w:ascii="仿宋" w:hAnsi="仿宋" w:eastAsia="仿宋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sz w:val="24"/>
                <w:szCs w:val="24"/>
                <w:lang w:val="en-US" w:eastAsia="zh-CN"/>
              </w:rPr>
              <w:t>美利坚合众国驻华大使馆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exact"/>
              <w:jc w:val="right"/>
              <w:textAlignment w:val="bottom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68,290.00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360" w:lineRule="exact"/>
              <w:jc w:val="right"/>
              <w:textAlignment w:val="bottom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Arial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sz w:val="24"/>
                <w:szCs w:val="24"/>
              </w:rPr>
              <w:t>合  计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60" w:lineRule="exact"/>
              <w:jc w:val="right"/>
              <w:textAlignment w:val="bottom"/>
              <w:rPr>
                <w:rFonts w:hint="default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423,582.01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360" w:lineRule="exact"/>
              <w:jc w:val="right"/>
              <w:textAlignment w:val="bottom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sz w:val="24"/>
          <w:szCs w:val="24"/>
        </w:rPr>
      </w:pPr>
    </w:p>
    <w:p>
      <w:pPr>
        <w:jc w:val="left"/>
        <w:rPr>
          <w:rFonts w:hint="eastAsia" w:ascii="仿宋" w:hAnsi="仿宋" w:eastAsia="仿宋"/>
          <w:b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b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drawing>
          <wp:inline distT="0" distB="0" distL="114300" distR="114300">
            <wp:extent cx="6144260" cy="7623175"/>
            <wp:effectExtent l="0" t="0" r="2540" b="9525"/>
            <wp:docPr id="2" name="图片 2" descr="源众2022.12资产负债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源众2022.12资产负债表_00"/>
                    <pic:cNvPicPr>
                      <a:picLocks noChangeAspect="1"/>
                    </pic:cNvPicPr>
                  </pic:nvPicPr>
                  <pic:blipFill>
                    <a:blip r:embed="rId4"/>
                    <a:srcRect t="7354" r="7277" b="3993"/>
                    <a:stretch>
                      <a:fillRect/>
                    </a:stretch>
                  </pic:blipFill>
                  <pic:spPr>
                    <a:xfrm>
                      <a:off x="0" y="0"/>
                      <a:ext cx="6144260" cy="762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drawing>
          <wp:inline distT="0" distB="0" distL="114300" distR="114300">
            <wp:extent cx="6149975" cy="4115435"/>
            <wp:effectExtent l="0" t="0" r="9525" b="12065"/>
            <wp:docPr id="1" name="图片 1" descr="源众2022.12业务活动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源众2022.12业务活动表_00"/>
                    <pic:cNvPicPr>
                      <a:picLocks noChangeAspect="1"/>
                    </pic:cNvPicPr>
                  </pic:nvPicPr>
                  <pic:blipFill>
                    <a:blip r:embed="rId5"/>
                    <a:srcRect t="6017" b="42414"/>
                    <a:stretch>
                      <a:fillRect/>
                    </a:stretch>
                  </pic:blipFill>
                  <pic:spPr>
                    <a:xfrm>
                      <a:off x="0" y="0"/>
                      <a:ext cx="6149975" cy="411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drawing>
          <wp:inline distT="0" distB="0" distL="114300" distR="114300">
            <wp:extent cx="6097270" cy="7547610"/>
            <wp:effectExtent l="0" t="0" r="11430" b="8890"/>
            <wp:docPr id="3" name="图片 3" descr="源众2022.12现金流量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源众2022.12现金流量表_00"/>
                    <pic:cNvPicPr>
                      <a:picLocks noChangeAspect="1"/>
                    </pic:cNvPicPr>
                  </pic:nvPicPr>
                  <pic:blipFill>
                    <a:blip r:embed="rId6"/>
                    <a:srcRect t="7001" r="8651" b="5868"/>
                    <a:stretch>
                      <a:fillRect/>
                    </a:stretch>
                  </pic:blipFill>
                  <pic:spPr>
                    <a:xfrm>
                      <a:off x="0" y="0"/>
                      <a:ext cx="6097270" cy="754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/>
          <w:b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89129E"/>
    <w:multiLevelType w:val="multilevel"/>
    <w:tmpl w:val="4389129E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536043"/>
    <w:multiLevelType w:val="multilevel"/>
    <w:tmpl w:val="62536043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6E40AB9"/>
    <w:multiLevelType w:val="multilevel"/>
    <w:tmpl w:val="66E40AB9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MGI0ZWUxY2QxMzg0NjdlODU1ZWVhOTJlYTJmYzYifQ=="/>
  </w:docVars>
  <w:rsids>
    <w:rsidRoot w:val="0F195B34"/>
    <w:rsid w:val="028D24DA"/>
    <w:rsid w:val="0F195B34"/>
    <w:rsid w:val="6841330B"/>
    <w:rsid w:val="79FB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851</Words>
  <Characters>1561</Characters>
  <Lines>0</Lines>
  <Paragraphs>0</Paragraphs>
  <TotalTime>5</TotalTime>
  <ScaleCrop>false</ScaleCrop>
  <LinksUpToDate>false</LinksUpToDate>
  <CharactersWithSpaces>1591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2023-05-17T05:52:00Z</dcterms:created>
  <dc:creator>Miranda</dc:creator>
  <cp:lastModifiedBy>Miranda</cp:lastModifiedBy>
  <dcterms:modified xsi:type="dcterms:W3CDTF">2023-05-17T08:09:50Z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CE4FC3FC7EB345378BD380BFA2A3C5AA_11</vt:lpwstr>
  </property>
</Properties>
</file>